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72763">
        <w:rPr>
          <w:b/>
          <w:caps/>
          <w:sz w:val="24"/>
          <w:szCs w:val="24"/>
        </w:rPr>
        <w:t>0</w:t>
      </w:r>
      <w:r w:rsidR="00DE05BC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C64E6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64E6">
        <w:rPr>
          <w:b/>
          <w:sz w:val="24"/>
          <w:szCs w:val="24"/>
        </w:rPr>
        <w:t>42-11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56CE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C64E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C64E6">
        <w:rPr>
          <w:sz w:val="24"/>
          <w:szCs w:val="24"/>
        </w:rPr>
        <w:t>в отсутствие</w:t>
      </w:r>
      <w:r w:rsidR="005C61D3">
        <w:rPr>
          <w:sz w:val="24"/>
          <w:szCs w:val="24"/>
        </w:rPr>
        <w:t xml:space="preserve"> </w:t>
      </w:r>
      <w:r w:rsidR="000A3A17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64E6">
        <w:rPr>
          <w:sz w:val="24"/>
          <w:szCs w:val="24"/>
        </w:rPr>
        <w:t>42-11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 w:rsidRPr="00EC64E6">
        <w:rPr>
          <w:sz w:val="24"/>
          <w:szCs w:val="24"/>
        </w:rPr>
        <w:t xml:space="preserve">02.11.2023г. в Адвокатскую палату Московской области поступило обращение мирового судьи судебного участка № </w:t>
      </w:r>
      <w:r w:rsidR="00556CE8">
        <w:rPr>
          <w:sz w:val="24"/>
          <w:szCs w:val="24"/>
        </w:rPr>
        <w:t>….. О.</w:t>
      </w:r>
      <w:r w:rsidR="00EC64E6" w:rsidRPr="00EC64E6">
        <w:rPr>
          <w:sz w:val="24"/>
          <w:szCs w:val="24"/>
        </w:rPr>
        <w:t xml:space="preserve"> судебного района М</w:t>
      </w:r>
      <w:r w:rsidR="00556CE8">
        <w:rPr>
          <w:sz w:val="24"/>
          <w:szCs w:val="24"/>
        </w:rPr>
        <w:t>.</w:t>
      </w:r>
      <w:r w:rsidR="00EC64E6" w:rsidRPr="00EC64E6">
        <w:rPr>
          <w:sz w:val="24"/>
          <w:szCs w:val="24"/>
        </w:rPr>
        <w:t xml:space="preserve"> области Ю.П.З</w:t>
      </w:r>
      <w:r w:rsidR="00556CE8">
        <w:rPr>
          <w:sz w:val="24"/>
          <w:szCs w:val="24"/>
        </w:rPr>
        <w:t>.</w:t>
      </w:r>
      <w:r w:rsidR="00EC64E6" w:rsidRPr="00EC64E6">
        <w:rPr>
          <w:sz w:val="24"/>
          <w:szCs w:val="24"/>
        </w:rPr>
        <w:t xml:space="preserve"> в отношении адвоката </w:t>
      </w:r>
      <w:r w:rsidR="00556CE8">
        <w:rPr>
          <w:sz w:val="24"/>
          <w:szCs w:val="24"/>
        </w:rPr>
        <w:t>А.С.В.</w:t>
      </w:r>
      <w:r w:rsidR="00EC64E6" w:rsidRPr="00EC64E6">
        <w:rPr>
          <w:sz w:val="24"/>
          <w:szCs w:val="24"/>
        </w:rPr>
        <w:t xml:space="preserve">, имеющего регистрационный номер </w:t>
      </w:r>
      <w:r w:rsidR="00556CE8">
        <w:rPr>
          <w:sz w:val="24"/>
          <w:szCs w:val="24"/>
        </w:rPr>
        <w:t>…..</w:t>
      </w:r>
      <w:r w:rsidR="00EC64E6" w:rsidRPr="00EC64E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56CE8">
        <w:rPr>
          <w:sz w:val="24"/>
          <w:szCs w:val="24"/>
        </w:rPr>
        <w:t>…..</w:t>
      </w:r>
    </w:p>
    <w:p w:rsidR="00B80D7F" w:rsidRDefault="002C28D7" w:rsidP="00431F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C64E6" w:rsidRPr="00EC64E6">
        <w:rPr>
          <w:sz w:val="24"/>
          <w:szCs w:val="24"/>
        </w:rPr>
        <w:t>адвокат в ходе осуществления защиты М</w:t>
      </w:r>
      <w:r w:rsidR="00556CE8">
        <w:rPr>
          <w:sz w:val="24"/>
          <w:szCs w:val="24"/>
        </w:rPr>
        <w:t>.</w:t>
      </w:r>
      <w:r w:rsidR="00EC64E6" w:rsidRPr="00EC64E6">
        <w:rPr>
          <w:sz w:val="24"/>
          <w:szCs w:val="24"/>
        </w:rPr>
        <w:t>М.С. по уголовному делу неоднократно не являлся в судебные заседания 24.08.2023</w:t>
      </w:r>
      <w:r w:rsidR="00EC64E6">
        <w:rPr>
          <w:sz w:val="24"/>
          <w:szCs w:val="24"/>
        </w:rPr>
        <w:t>г.</w:t>
      </w:r>
      <w:r w:rsidR="00EC64E6" w:rsidRPr="00EC64E6">
        <w:rPr>
          <w:sz w:val="24"/>
          <w:szCs w:val="24"/>
        </w:rPr>
        <w:t>, 14.09.2023</w:t>
      </w:r>
      <w:r w:rsidR="00EC64E6">
        <w:rPr>
          <w:sz w:val="24"/>
          <w:szCs w:val="24"/>
        </w:rPr>
        <w:t>г.</w:t>
      </w:r>
      <w:r w:rsidR="00EC64E6" w:rsidRPr="00EC64E6">
        <w:rPr>
          <w:sz w:val="24"/>
          <w:szCs w:val="24"/>
        </w:rPr>
        <w:t>, 21.09.2023</w:t>
      </w:r>
      <w:r w:rsidR="00EC64E6">
        <w:rPr>
          <w:sz w:val="24"/>
          <w:szCs w:val="24"/>
        </w:rPr>
        <w:t>г.</w:t>
      </w:r>
      <w:r w:rsidR="00EC64E6" w:rsidRPr="00EC64E6">
        <w:rPr>
          <w:sz w:val="24"/>
          <w:szCs w:val="24"/>
        </w:rPr>
        <w:t>, а также нарушал порядок в судебных заседаниях 31.08.2023</w:t>
      </w:r>
      <w:r w:rsidR="00EC64E6">
        <w:rPr>
          <w:sz w:val="24"/>
          <w:szCs w:val="24"/>
        </w:rPr>
        <w:t>г.</w:t>
      </w:r>
      <w:r w:rsidR="00EC64E6" w:rsidRPr="00EC64E6">
        <w:rPr>
          <w:sz w:val="24"/>
          <w:szCs w:val="24"/>
        </w:rPr>
        <w:t>, 05.10.2023</w:t>
      </w:r>
      <w:r w:rsidR="00EC64E6">
        <w:rPr>
          <w:sz w:val="24"/>
          <w:szCs w:val="24"/>
        </w:rPr>
        <w:t>г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07.11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09.11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C64E6">
        <w:rPr>
          <w:sz w:val="24"/>
          <w:szCs w:val="24"/>
        </w:rPr>
        <w:t>4865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663B2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5663B2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DA3195">
        <w:rPr>
          <w:sz w:val="24"/>
          <w:szCs w:val="24"/>
        </w:rPr>
        <w:t>ась</w:t>
      </w:r>
      <w:r w:rsidR="005E1D64">
        <w:rPr>
          <w:sz w:val="24"/>
          <w:szCs w:val="24"/>
        </w:rPr>
        <w:t>, уведомлен</w:t>
      </w:r>
      <w:r w:rsidR="00DA3195">
        <w:rPr>
          <w:sz w:val="24"/>
          <w:szCs w:val="24"/>
        </w:rPr>
        <w:t>а</w:t>
      </w:r>
      <w:r w:rsidR="00AC56EF">
        <w:rPr>
          <w:sz w:val="24"/>
          <w:szCs w:val="24"/>
        </w:rPr>
        <w:t>.</w:t>
      </w:r>
    </w:p>
    <w:p w:rsidR="00AC56EF" w:rsidRDefault="00EC64E6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96870">
        <w:rPr>
          <w:sz w:val="24"/>
          <w:szCs w:val="24"/>
        </w:rPr>
        <w:t>явил</w:t>
      </w:r>
      <w:r w:rsidR="00852FFA">
        <w:rPr>
          <w:sz w:val="24"/>
          <w:szCs w:val="24"/>
        </w:rPr>
        <w:t>ся</w:t>
      </w:r>
      <w:r w:rsidR="00A96870">
        <w:rPr>
          <w:sz w:val="24"/>
          <w:szCs w:val="24"/>
        </w:rPr>
        <w:t xml:space="preserve">, </w:t>
      </w:r>
      <w:r w:rsidR="005663B2">
        <w:rPr>
          <w:sz w:val="24"/>
          <w:szCs w:val="24"/>
        </w:rPr>
        <w:t>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EC64E6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73279" w:rsidRPr="0017327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56CE8">
        <w:rPr>
          <w:sz w:val="24"/>
          <w:szCs w:val="24"/>
        </w:rPr>
        <w:t>А.С.В.</w:t>
      </w:r>
      <w:r w:rsidR="00173279" w:rsidRPr="00173279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AA7DC0" w:rsidRDefault="00AA7DC0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19.01.2024г. от адвоката поступило заявление о согласии с заключением квалификационной комиссии и просьбой рассмотреть дисциплинарное производство в его отсутствие в связи с занятостью в судебном процессе. 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</w:t>
      </w:r>
      <w:r w:rsidR="00DA3195">
        <w:rPr>
          <w:sz w:val="24"/>
          <w:szCs w:val="24"/>
          <w:lang w:eastAsia="en-US"/>
        </w:rPr>
        <w:t>ась</w:t>
      </w:r>
      <w:r w:rsidR="0039735D">
        <w:rPr>
          <w:sz w:val="24"/>
          <w:szCs w:val="24"/>
          <w:lang w:eastAsia="en-US"/>
        </w:rPr>
        <w:t>, уведомлен</w:t>
      </w:r>
      <w:r w:rsidR="00DA3195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17327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852FF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173279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1503BB" w:rsidRDefault="00F737A1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Квалификационная комиссия обоснованно не усмотрела в представленных заявителем материалах доказательств нарушения адвокатом требований п.1) ст.8 КПЭА, констатировав активную позицию защитника в ходе уголовного судопроизводства. Несогласие участника судебного заседания с действиями председательствующего, равно как и процессуальное реагирование суда на действия сторон, </w:t>
      </w:r>
      <w:r w:rsidR="004702AE">
        <w:rPr>
          <w:sz w:val="24"/>
          <w:szCs w:val="24"/>
          <w:lang w:eastAsia="en-US"/>
        </w:rPr>
        <w:t xml:space="preserve">определяется </w:t>
      </w:r>
      <w:r>
        <w:rPr>
          <w:sz w:val="24"/>
          <w:szCs w:val="24"/>
          <w:lang w:eastAsia="en-US"/>
        </w:rPr>
        <w:t>ходом судебного разбирательства, регламентированного процессуальным законодательством. Мнение адвоката и его позиция, заявленная в судебном заседании, не может являться основанием для привлечения к какой-либо ответственности в силу п.2 ст.18 ФЗ «Об адвокатской деятельности и адвокатуре в РФ».</w:t>
      </w:r>
      <w:r w:rsidR="00941495">
        <w:rPr>
          <w:sz w:val="24"/>
          <w:szCs w:val="24"/>
          <w:lang w:eastAsia="en-US"/>
        </w:rPr>
        <w:t xml:space="preserve"> Из содержания представленных протоколов судебного заседания усматривается конфликтный ход судебного разбирательства 05.06.2</w:t>
      </w:r>
      <w:r w:rsidR="00503E56">
        <w:rPr>
          <w:sz w:val="24"/>
          <w:szCs w:val="24"/>
          <w:lang w:eastAsia="en-US"/>
        </w:rPr>
        <w:t>02</w:t>
      </w:r>
      <w:r w:rsidR="00941495">
        <w:rPr>
          <w:sz w:val="24"/>
          <w:szCs w:val="24"/>
          <w:lang w:eastAsia="en-US"/>
        </w:rPr>
        <w:t xml:space="preserve">3г., согласующийся с доводом адвоката о тенденциозности действий председательствующего по отношению к адвокату как участнику уголовного судопроизводства. </w:t>
      </w:r>
    </w:p>
    <w:p w:rsidR="00F737A1" w:rsidRPr="009A6A3F" w:rsidRDefault="001503BB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выводом квалификационной комиссии о том, что представленные заявителем протоколы судебного заседания, в которых отражены замечания председательствующего адвокату, не отражают конкретных обстоятельств</w:t>
      </w:r>
      <w:r w:rsidRPr="001503B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объявления защитнику замечаний, что препятствует оценке действий адвоката применительно к ст.12 КПЭА.</w:t>
      </w:r>
      <w:r w:rsidR="00941495">
        <w:rPr>
          <w:sz w:val="24"/>
          <w:szCs w:val="24"/>
          <w:lang w:eastAsia="en-US"/>
        </w:rPr>
        <w:t xml:space="preserve"> 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56CE8">
        <w:rPr>
          <w:sz w:val="24"/>
          <w:szCs w:val="24"/>
          <w:lang w:eastAsia="en-US"/>
        </w:rPr>
        <w:t>А.С.В.</w:t>
      </w:r>
      <w:r w:rsidRPr="00C834CE">
        <w:rPr>
          <w:sz w:val="24"/>
          <w:szCs w:val="24"/>
          <w:lang w:eastAsia="en-US"/>
        </w:rPr>
        <w:t>, имеюще</w:t>
      </w:r>
      <w:r w:rsidR="00852FFA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556CE8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95BAA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AA" w:rsidRDefault="00495BAA" w:rsidP="00C01A07">
      <w:r>
        <w:separator/>
      </w:r>
    </w:p>
  </w:endnote>
  <w:endnote w:type="continuationSeparator" w:id="0">
    <w:p w:rsidR="00495BAA" w:rsidRDefault="00495BA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AA" w:rsidRDefault="00495BAA" w:rsidP="00C01A07">
      <w:r>
        <w:separator/>
      </w:r>
    </w:p>
  </w:footnote>
  <w:footnote w:type="continuationSeparator" w:id="0">
    <w:p w:rsidR="00495BAA" w:rsidRDefault="00495BA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C60FFA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56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3A17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03BB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2AE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BA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3E56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CE8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81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95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A7DC0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0FFA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688C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05BC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7A1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80E3-FC72-4934-B947-74247BDE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2024-01-30T06:15:00Z</cp:lastPrinted>
  <dcterms:created xsi:type="dcterms:W3CDTF">2024-01-28T19:49:00Z</dcterms:created>
  <dcterms:modified xsi:type="dcterms:W3CDTF">2024-02-18T14:56:00Z</dcterms:modified>
</cp:coreProperties>
</file>